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2765F2" w14:textId="77777777" w:rsidR="00B84130" w:rsidRPr="0035369C" w:rsidRDefault="00B84130">
      <w:pPr>
        <w:pageBreakBefore/>
        <w:spacing w:after="200"/>
        <w:jc w:val="center"/>
        <w:rPr>
          <w:rFonts w:cs="Times New Roman"/>
          <w:sz w:val="22"/>
          <w:szCs w:val="22"/>
        </w:rPr>
      </w:pPr>
      <w:bookmarkStart w:id="0" w:name="_GoBack"/>
      <w:bookmarkEnd w:id="0"/>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60C58D5A"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Subdirección </w:t>
      </w:r>
      <w:r w:rsidR="0000291D" w:rsidRPr="0035369C">
        <w:rPr>
          <w:rFonts w:cs="Times New Roman"/>
          <w:sz w:val="22"/>
          <w:szCs w:val="22"/>
        </w:rPr>
        <w:t xml:space="preserve"> </w:t>
      </w:r>
      <w:r w:rsidR="002B6981" w:rsidRPr="0035369C">
        <w:rPr>
          <w:rFonts w:cs="Times New Roman"/>
          <w:sz w:val="22"/>
          <w:szCs w:val="22"/>
        </w:rPr>
        <w:t>Técnica de Parques</w:t>
      </w:r>
    </w:p>
    <w:p w14:paraId="15CC905D" w14:textId="3D637B7D" w:rsidR="00B84130" w:rsidRPr="0035369C" w:rsidRDefault="007D48B0" w:rsidP="00F5293C">
      <w:pPr>
        <w:spacing w:before="280" w:after="120"/>
        <w:jc w:val="center"/>
        <w:rPr>
          <w:rFonts w:cs="Times New Roman"/>
          <w:sz w:val="22"/>
          <w:szCs w:val="22"/>
        </w:rPr>
      </w:pPr>
      <w:r>
        <w:rPr>
          <w:rFonts w:cs="Times New Roman"/>
          <w:sz w:val="22"/>
          <w:szCs w:val="22"/>
        </w:rPr>
        <w:t xml:space="preserve">Marzo de </w:t>
      </w:r>
      <w:r w:rsidR="00D31EA5">
        <w:rPr>
          <w:rFonts w:cs="Times New Roman"/>
          <w:sz w:val="22"/>
          <w:szCs w:val="22"/>
        </w:rPr>
        <w:t>202</w:t>
      </w:r>
      <w:r>
        <w:rPr>
          <w:rFonts w:cs="Times New Roman"/>
          <w:sz w:val="22"/>
          <w:szCs w:val="22"/>
        </w:rPr>
        <w:t>2</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BB4A44">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BB4A44">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BB4A44">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BB4A44">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BB4A44">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BB4A44">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BB4A44">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BB4A44">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Start w:id="38" w:name="_Toc4457794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5369C">
        <w:lastRenderedPageBreak/>
        <w:t>1. DIAGNOSTICO</w:t>
      </w:r>
      <w:bookmarkEnd w:id="38"/>
    </w:p>
    <w:p w14:paraId="543F0D4B" w14:textId="77777777" w:rsidR="00EE3673" w:rsidRDefault="00EE3673" w:rsidP="00EE3673">
      <w:pPr>
        <w:jc w:val="both"/>
        <w:rPr>
          <w:rFonts w:ascii="Arial" w:hAnsi="Arial" w:cs="Arial"/>
        </w:rPr>
      </w:pPr>
      <w:bookmarkStart w:id="39" w:name="__RefHeading__74_1121262178"/>
      <w:bookmarkStart w:id="40" w:name="__RefHeading__70_988231325"/>
      <w:bookmarkStart w:id="41" w:name="__RefHeading__263_1484616871"/>
      <w:bookmarkStart w:id="42" w:name="__RefHeading__63_1484616871"/>
      <w:bookmarkStart w:id="43" w:name="__RefHeading__54_1089277957"/>
      <w:bookmarkStart w:id="44" w:name="__RefHeading__100_222241988"/>
      <w:bookmarkStart w:id="45" w:name="__RefHeading__4233_640894548"/>
      <w:bookmarkStart w:id="46" w:name="__RefHeading__80_1761471730"/>
      <w:bookmarkStart w:id="47" w:name="__RefHeading__16226_1102454762"/>
      <w:bookmarkStart w:id="48" w:name="__RefHeading__37_933958631"/>
      <w:bookmarkStart w:id="49" w:name="__RefHeading__5_956707371"/>
      <w:bookmarkStart w:id="50" w:name="__RefHeading__19_1299977710"/>
      <w:bookmarkStart w:id="51" w:name="__RefHeading__16105_1102454762"/>
      <w:bookmarkStart w:id="52" w:name="__RefHeading__42_222241988"/>
      <w:bookmarkStart w:id="53" w:name="__RefHeading__169_73656964"/>
      <w:bookmarkStart w:id="54" w:name="__RefHeading__688_1187675580"/>
      <w:bookmarkStart w:id="55" w:name="__RefHeading__141_1484616871"/>
      <w:bookmarkStart w:id="56" w:name="__RefHeading__61_1853248586"/>
      <w:bookmarkStart w:id="57" w:name="__RefHeading__70_31361602"/>
      <w:bookmarkStart w:id="58" w:name="_Toc445779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microenomicos,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medallería,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eastAsia="es-CO" w:bidi="ar-SA"/>
        </w:rPr>
        <w:lastRenderedPageBreak/>
        <w:drawing>
          <wp:inline distT="0" distB="0" distL="0" distR="0" wp14:anchorId="54680F3A" wp14:editId="371CF9DD">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eastAsia="es-CO" w:bidi="ar-SA"/>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los desafíos  social</w:t>
      </w:r>
      <w:r>
        <w:rPr>
          <w:rFonts w:ascii="Arial" w:hAnsi="Arial" w:cs="Arial"/>
        </w:rPr>
        <w:t>es</w:t>
      </w:r>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eastAsia="es-CO" w:bidi="ar-SA"/>
        </w:rPr>
        <w:drawing>
          <wp:inline distT="0" distB="0" distL="0" distR="0" wp14:anchorId="110E4E48" wp14:editId="6CDDCA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8"/>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TOTAL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9" w:name="__RefHeading__76_1121262178"/>
      <w:bookmarkStart w:id="60" w:name="__RefHeading__72_988231325"/>
      <w:bookmarkStart w:id="61" w:name="__RefHeading__265_1484616871"/>
      <w:bookmarkStart w:id="62" w:name="__RefHeading__143_1484616871"/>
      <w:bookmarkStart w:id="63" w:name="__RefHeading__63_1853248586"/>
      <w:bookmarkStart w:id="64" w:name="__RefHeading__72_31361602"/>
      <w:bookmarkStart w:id="65" w:name="_Toc44577942"/>
      <w:bookmarkEnd w:id="59"/>
      <w:bookmarkEnd w:id="60"/>
      <w:bookmarkEnd w:id="61"/>
      <w:bookmarkEnd w:id="62"/>
      <w:bookmarkEnd w:id="63"/>
      <w:bookmarkEnd w:id="64"/>
      <w:r w:rsidRPr="0035369C">
        <w:t>3. OBJETIVOS</w:t>
      </w:r>
      <w:bookmarkEnd w:id="65"/>
    </w:p>
    <w:p w14:paraId="41F4C93E" w14:textId="77777777" w:rsidR="00B84130" w:rsidRPr="0035369C" w:rsidRDefault="00B84130">
      <w:pPr>
        <w:pStyle w:val="Ttulo21"/>
        <w:tabs>
          <w:tab w:val="left" w:pos="0"/>
        </w:tabs>
        <w:jc w:val="both"/>
        <w:rPr>
          <w:rFonts w:ascii="Times New Roman" w:hAnsi="Times New Roman"/>
          <w:sz w:val="22"/>
          <w:szCs w:val="22"/>
        </w:rPr>
      </w:pPr>
      <w:bookmarkStart w:id="66" w:name="__RefHeading__9_956707371"/>
      <w:bookmarkStart w:id="67" w:name="__RefHeading__23_1299977710"/>
      <w:bookmarkEnd w:id="66"/>
      <w:bookmarkEnd w:id="67"/>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8" w:name="_Toc44577943"/>
      <w:r w:rsidRPr="0035369C">
        <w:t>4. PLANTEAMIENTO Y SELECCIÓN DE ALTERNATIVAS</w:t>
      </w:r>
      <w:bookmarkEnd w:id="68"/>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9"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9"/>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10CDB0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w:t>
            </w:r>
            <w:r w:rsidR="007D48B0">
              <w:rPr>
                <w:rFonts w:eastAsia="Times New Roman" w:cs="Times New Roman"/>
                <w:kern w:val="0"/>
                <w:sz w:val="20"/>
                <w:szCs w:val="20"/>
                <w:lang w:val="es-ES" w:eastAsia="es-ES" w:bidi="ar-SA"/>
              </w:rPr>
              <w:t>38</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77777777" w:rsidR="000044C5" w:rsidRPr="00A92858" w:rsidRDefault="000942EA" w:rsidP="00A92858">
      <w:pPr>
        <w:pStyle w:val="NormalWeb"/>
        <w:spacing w:before="0" w:after="0"/>
        <w:jc w:val="both"/>
        <w:rPr>
          <w:sz w:val="22"/>
          <w:szCs w:val="22"/>
        </w:rPr>
      </w:pPr>
      <w:r w:rsidRPr="0035369C">
        <w:rPr>
          <w:sz w:val="22"/>
          <w:szCs w:val="22"/>
        </w:rPr>
        <w:t>El cumplimiento de las metas están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70" w:name="_Toc44577945"/>
      <w:r w:rsidRPr="0035369C">
        <w:rPr>
          <w:color w:val="000000"/>
        </w:rPr>
        <w:t>6. FINANCIAMIENTO DEL PROYECTO</w:t>
      </w:r>
      <w:bookmarkEnd w:id="70"/>
    </w:p>
    <w:p w14:paraId="2CC388D1" w14:textId="77777777" w:rsidR="00F6253B" w:rsidRPr="00F6253B" w:rsidRDefault="00F6253B" w:rsidP="00F6253B">
      <w:pPr>
        <w:pStyle w:val="Textoindependiente"/>
      </w:pPr>
    </w:p>
    <w:p w14:paraId="64649137" w14:textId="77777777" w:rsidR="00B84130" w:rsidRPr="0035369C" w:rsidRDefault="00B84130">
      <w:pPr>
        <w:spacing w:line="360" w:lineRule="auto"/>
        <w:jc w:val="both"/>
        <w:rPr>
          <w:rFonts w:cs="Times New Roman"/>
          <w:sz w:val="22"/>
          <w:szCs w:val="22"/>
        </w:rPr>
      </w:pPr>
      <w:r w:rsidRPr="0035369C">
        <w:rPr>
          <w:rFonts w:cs="Times New Roman"/>
          <w:sz w:val="22"/>
          <w:szCs w:val="22"/>
        </w:rPr>
        <w:t>Los recursos para el financiamiento de este proyecto,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Servicios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E37A60" w:rsidRDefault="0019623E"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E37A60" w:rsidRDefault="00E37A60"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E37A60">
              <w:rPr>
                <w:rFonts w:ascii="Calibri" w:eastAsia="Times New Roman" w:hAnsi="Calibri"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4CD1F2B5"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1</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057</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504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631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7102D71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770</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824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900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B699B66" w:rsidR="0019623E" w:rsidRPr="00E37A60" w:rsidRDefault="0019623E"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19623E">
              <w:rPr>
                <w:rFonts w:ascii="Calibri" w:eastAsia="Times New Roman" w:hAnsi="Calibri" w:cs="Calibri"/>
                <w:kern w:val="0"/>
                <w:sz w:val="12"/>
                <w:szCs w:val="12"/>
                <w:lang w:val="es-ES" w:eastAsia="es-ES" w:bidi="ar-SA"/>
              </w:rPr>
              <w:t>3</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086</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329</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531</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696E63D1"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BC4AE9">
        <w:rPr>
          <w:rStyle w:val="Fuentedeprrafopredeter2"/>
          <w:rFonts w:cs="Times New Roman"/>
          <w:bCs/>
          <w:color w:val="000000"/>
          <w:sz w:val="22"/>
          <w:szCs w:val="22"/>
        </w:rPr>
        <w:t>2</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7429E586"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BC4AE9">
              <w:rPr>
                <w:rFonts w:eastAsia="Times New Roman"/>
                <w:b/>
                <w:kern w:val="0"/>
                <w:lang w:val="es-ES" w:eastAsia="es-ES" w:bidi="ar-SA"/>
              </w:rPr>
              <w:t>2</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54C73C02" w:rsidR="00DD383B" w:rsidRDefault="00BC4AE9" w:rsidP="00DD383B">
            <w:pPr>
              <w:jc w:val="right"/>
            </w:pPr>
            <w:r w:rsidRPr="001F47CE">
              <w:t>1.</w:t>
            </w:r>
            <w:r>
              <w:t>258.000.000</w:t>
            </w:r>
            <w:r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Total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3F5F78AE" w:rsidR="00DD383B" w:rsidRDefault="00DD383B" w:rsidP="00DD383B">
            <w:pPr>
              <w:jc w:val="right"/>
            </w:pPr>
            <w:r w:rsidRPr="001F47CE">
              <w:t xml:space="preserve"> 1.</w:t>
            </w:r>
            <w:r w:rsidR="00BC4AE9">
              <w:t>258.000.000</w:t>
            </w:r>
            <w:r w:rsidRPr="001F47CE">
              <w:t xml:space="preserve">   </w:t>
            </w:r>
          </w:p>
        </w:tc>
      </w:tr>
    </w:tbl>
    <w:p w14:paraId="048263EF"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continuación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Y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de Sistema de Moda. (2018). Inexmoda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 xml:space="preserve">FIFA U-20  World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05A84" w14:textId="77777777" w:rsidR="00B47F92" w:rsidRDefault="00B47F92" w:rsidP="006B59EA">
      <w:pPr>
        <w:spacing w:line="240" w:lineRule="auto"/>
      </w:pPr>
      <w:r>
        <w:separator/>
      </w:r>
    </w:p>
  </w:endnote>
  <w:endnote w:type="continuationSeparator" w:id="0">
    <w:p w14:paraId="7AFBC4CD" w14:textId="77777777" w:rsidR="00B47F92" w:rsidRDefault="00B47F92"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70FB" w14:textId="77777777" w:rsidR="00B47F92" w:rsidRDefault="00B47F92" w:rsidP="006B59EA">
      <w:pPr>
        <w:spacing w:line="240" w:lineRule="auto"/>
      </w:pPr>
      <w:r>
        <w:separator/>
      </w:r>
    </w:p>
  </w:footnote>
  <w:footnote w:type="continuationSeparator" w:id="0">
    <w:p w14:paraId="7D416FC8" w14:textId="77777777" w:rsidR="00B47F92" w:rsidRDefault="00B47F92"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7DF8" w14:textId="77777777" w:rsidR="00171846" w:rsidRDefault="003A2A80" w:rsidP="00171846">
    <w:pPr>
      <w:pStyle w:val="Encabezado"/>
      <w:jc w:val="center"/>
    </w:pPr>
    <w:r w:rsidRPr="00D44377">
      <w:rPr>
        <w:noProof/>
        <w:lang w:eastAsia="es-CO" w:bidi="ar-SA"/>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E473" w14:textId="77777777" w:rsidR="00171846" w:rsidRDefault="003A2A80" w:rsidP="00F5293C">
    <w:pPr>
      <w:pStyle w:val="Encabezado"/>
      <w:jc w:val="center"/>
    </w:pPr>
    <w:r w:rsidRPr="0002788F">
      <w:rPr>
        <w:noProof/>
        <w:lang w:eastAsia="es-CO" w:bidi="ar-SA"/>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9A"/>
    <w:rsid w:val="0000291D"/>
    <w:rsid w:val="000044C5"/>
    <w:rsid w:val="0001193C"/>
    <w:rsid w:val="00021201"/>
    <w:rsid w:val="00065757"/>
    <w:rsid w:val="0007579A"/>
    <w:rsid w:val="000942EA"/>
    <w:rsid w:val="000A217B"/>
    <w:rsid w:val="000C0464"/>
    <w:rsid w:val="000C18E3"/>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C565B"/>
    <w:rsid w:val="001E6B99"/>
    <w:rsid w:val="001F0BCB"/>
    <w:rsid w:val="001F510B"/>
    <w:rsid w:val="00222AAB"/>
    <w:rsid w:val="00231D7C"/>
    <w:rsid w:val="00240CA1"/>
    <w:rsid w:val="002544DF"/>
    <w:rsid w:val="00287D97"/>
    <w:rsid w:val="002930A8"/>
    <w:rsid w:val="00297A2F"/>
    <w:rsid w:val="002B6981"/>
    <w:rsid w:val="002C4912"/>
    <w:rsid w:val="0030737D"/>
    <w:rsid w:val="00315B6C"/>
    <w:rsid w:val="00324AB3"/>
    <w:rsid w:val="00324F86"/>
    <w:rsid w:val="0035369C"/>
    <w:rsid w:val="003829CC"/>
    <w:rsid w:val="003979EF"/>
    <w:rsid w:val="003A2A80"/>
    <w:rsid w:val="003A4DAF"/>
    <w:rsid w:val="003A5D3B"/>
    <w:rsid w:val="003C3DD8"/>
    <w:rsid w:val="003D44F7"/>
    <w:rsid w:val="003D6C78"/>
    <w:rsid w:val="003E550A"/>
    <w:rsid w:val="003F5F15"/>
    <w:rsid w:val="0040217E"/>
    <w:rsid w:val="00436561"/>
    <w:rsid w:val="00440ECF"/>
    <w:rsid w:val="00441545"/>
    <w:rsid w:val="00450D5E"/>
    <w:rsid w:val="00454084"/>
    <w:rsid w:val="00481352"/>
    <w:rsid w:val="004B41DA"/>
    <w:rsid w:val="004E59AA"/>
    <w:rsid w:val="00503223"/>
    <w:rsid w:val="005261C6"/>
    <w:rsid w:val="005747FC"/>
    <w:rsid w:val="00586339"/>
    <w:rsid w:val="005E5C34"/>
    <w:rsid w:val="005F271B"/>
    <w:rsid w:val="00602707"/>
    <w:rsid w:val="00615C68"/>
    <w:rsid w:val="00655452"/>
    <w:rsid w:val="0066504A"/>
    <w:rsid w:val="00676C86"/>
    <w:rsid w:val="00682EB3"/>
    <w:rsid w:val="00685FF5"/>
    <w:rsid w:val="006906ED"/>
    <w:rsid w:val="0069220E"/>
    <w:rsid w:val="006B20B5"/>
    <w:rsid w:val="006B59EA"/>
    <w:rsid w:val="006D076A"/>
    <w:rsid w:val="006E0E4C"/>
    <w:rsid w:val="006F1EB7"/>
    <w:rsid w:val="00712180"/>
    <w:rsid w:val="00721141"/>
    <w:rsid w:val="00727A10"/>
    <w:rsid w:val="00743247"/>
    <w:rsid w:val="007438F2"/>
    <w:rsid w:val="00764EA1"/>
    <w:rsid w:val="007873F6"/>
    <w:rsid w:val="00791ED1"/>
    <w:rsid w:val="007D3D44"/>
    <w:rsid w:val="007D48B0"/>
    <w:rsid w:val="007D65F5"/>
    <w:rsid w:val="00813D0E"/>
    <w:rsid w:val="00853871"/>
    <w:rsid w:val="00861B8D"/>
    <w:rsid w:val="00880B65"/>
    <w:rsid w:val="008A5EF2"/>
    <w:rsid w:val="008D21D7"/>
    <w:rsid w:val="009255AA"/>
    <w:rsid w:val="009540EE"/>
    <w:rsid w:val="0096576E"/>
    <w:rsid w:val="009946F4"/>
    <w:rsid w:val="009A5F97"/>
    <w:rsid w:val="009A652D"/>
    <w:rsid w:val="009E460D"/>
    <w:rsid w:val="00A0500E"/>
    <w:rsid w:val="00A22D22"/>
    <w:rsid w:val="00A33945"/>
    <w:rsid w:val="00A41E08"/>
    <w:rsid w:val="00A63416"/>
    <w:rsid w:val="00A6412F"/>
    <w:rsid w:val="00A803CD"/>
    <w:rsid w:val="00A92858"/>
    <w:rsid w:val="00AC2AE5"/>
    <w:rsid w:val="00AD1CE8"/>
    <w:rsid w:val="00B47F92"/>
    <w:rsid w:val="00B51A59"/>
    <w:rsid w:val="00B5351A"/>
    <w:rsid w:val="00B54085"/>
    <w:rsid w:val="00B7191F"/>
    <w:rsid w:val="00B72E7C"/>
    <w:rsid w:val="00B84130"/>
    <w:rsid w:val="00B9323A"/>
    <w:rsid w:val="00B94346"/>
    <w:rsid w:val="00BA1E73"/>
    <w:rsid w:val="00BB4A44"/>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6FA5"/>
    <w:rsid w:val="00C9228B"/>
    <w:rsid w:val="00C97402"/>
    <w:rsid w:val="00CF0777"/>
    <w:rsid w:val="00D068D3"/>
    <w:rsid w:val="00D24E05"/>
    <w:rsid w:val="00D31EA5"/>
    <w:rsid w:val="00D43711"/>
    <w:rsid w:val="00D661EE"/>
    <w:rsid w:val="00D66A5D"/>
    <w:rsid w:val="00D71B8F"/>
    <w:rsid w:val="00D9138C"/>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customStyle="1" w:styleId="UnresolvedMention">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FA5F8F2D-0BB2-44F2-B4F0-227EAACE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4352</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28237</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Alba Lucero Rodriguez Becerra</cp:lastModifiedBy>
  <cp:revision>2</cp:revision>
  <cp:lastPrinted>2020-01-22T23:18:00Z</cp:lastPrinted>
  <dcterms:created xsi:type="dcterms:W3CDTF">2022-04-20T20:56:00Z</dcterms:created>
  <dcterms:modified xsi:type="dcterms:W3CDTF">2022-04-20T20:56:00Z</dcterms:modified>
</cp:coreProperties>
</file>